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C0392B"/>
          <w:sz w:val="56"/>
          <w:szCs w:val="56"/>
        </w:rPr>
        <w:t xml:space="preserve">LYNX</w:t>
      </w:r>
      <w:r>
        <w:rPr>
          <w:rFonts w:ascii="Arial" w:cs="Arial" w:eastAsia="Arial" w:hAnsi="Arial"/>
          <w:b/>
          <w:bCs/>
          <w:color w:val="333333"/>
          <w:sz w:val="56"/>
          <w:szCs w:val="56"/>
        </w:rPr>
        <w:t xml:space="preserve"> LINING</w:t>
      </w:r>
    </w:p>
    <w:p>
      <w:pPr>
        <w:pBdr>
          <w:bottom w:val="single" w:color="1F4E79" w:sz="6" w:space="8"/>
        </w:pBdr>
        <w:spacing w:after="400"/>
        <w:jc w:val="center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Compliance &amp; Datenschutz-Dokumentation</w:t>
      </w:r>
    </w:p>
    <w:p>
      <w:pPr>
        <w:spacing w:after="6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Übersicht der implementierten Sicherheits- und Datenschutzmaßnahmen
gemäß DSGVO, EU AI Act und österreichischem Recht</w:t>
      </w:r>
    </w:p>
    <w:p>
      <w:pPr>
        <w:spacing w:after="6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LYNX Lining</w:t>
      </w:r>
    </w:p>
    <w:p>
      <w:pPr>
        <w:spacing w:after="10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Ing. Martin Heidecker</w:t>
      </w:r>
    </w:p>
    <w:p>
      <w:pPr>
        <w:spacing w:after="10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Schillerstraße 13, 4020 Linz, Österreich</w:t>
      </w:r>
    </w:p>
    <w:p>
      <w:pPr>
        <w:spacing w:after="400"/>
      </w:pP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Dokumentversion: 1.0</w:t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Stand: März 2026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Inhaltsverzeichnis</w:t>
      </w:r>
    </w:p>
    <w:sdt>
      <w:sdtPr>
        <w:alias w:val="Inhaltsverzeichni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Zusammenfassung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Die Website www.lynx-lining.com der Firma LYNX Lining wurde einer umfassenden Compliance-Prüfung unterzogen. Dieses Dokument beschreibt alle implementierten Maßnahmen zum Datenschutz, zur Datensicherheit und zur Einhaltung gesetzlicher Vorgaben gemäß der Datenschutz-Grundverordnung (DSGVO), dem österreichischen Datenschutzgesetz (DSG), dem E-Commerce-Gesetz (ECG), dem Telekommunikationsgesetz (TKG 2003), dem Fern- und Auswärtsgeschäfte-Gesetz (FAGG) sowie dem EU AI Act.</w:t>
      </w:r>
    </w:p>
    <w:p>
      <w:pPr>
        <w:spacing w:after="8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Rechtsseiten der Website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2.1 Impressum (§ 5 ECG, § 25 MedienG)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Status: </w:t>
      </w: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Vollständig implementiert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Vollständige Angaben gemäß § 5 ECG und § 25 MedienG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Firmenname, Inhaber (Ing. Martin Heidecker), Adresse, Kontaktdaten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Unternehmensgegenstand klar definiert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Aufsichtsbehörde (BH Linz) angegeben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Haftungsausschlüsse für Inhalte, Links und Urheberrecht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Bildnachweis vorhanden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Zweisprachig verfügbar (Deutsch/Englisch)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Verlinkt im Footer jeder Seite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62828"/>
          <w:sz w:val="20"/>
          <w:szCs w:val="20"/>
        </w:rPr>
        <w:t xml:space="preserve">OFFEN: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UID-Nummer muss noch konkret eingetragen werden (gesetzliche Pflichtangabe gemäß ECG/UGB)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2.2 Datenschutzerklärung (DSGVO Art. 13, 14)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Status: </w:t>
      </w: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Vollständig implementiert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Enthält alle gemäß DSGVO erforderlichen Angaben: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Verantwortlicher mit vollständigen Kontaktdaten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Beschreibung der Datenerhebung bei Website-Besuch (Server-Logfiles)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Beschreibung der Datenerhebung bei Kontaktformularnutzung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Beschreibung der Datenerhebung bei Shop-Bestellungen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Rechtsgrundlagen (Art. 6 DSGVO) für jede Verarbeitungskategorie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Weitergabe von Daten an Dritte (nur mit Einwilligung/Vertrag/Gesetz)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Cookie-Richtlinie mit Unterscheidung notwendig/optional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Hosting-Information (Hetzner Online GmbH, Deutschland — EU-konform)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Explizite Erklärung: Keine externen Dienste werden geladen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SSL-Verschlüsselung dokumentiert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Betroffenenrechte (Art. 15–21 DSGVO) aufgelistet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Kontaktdaten der Österreichischen Datenschutzbehörde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Aufbewahrungsfristen (steuerrechtlich 7 Jahre)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Änderungsvorbehalt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Zweisprachig verfügbar (Deutsch/Englisch)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2.3 Allgemeine Geschäftsbedingungen (AGB)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Status: </w:t>
      </w: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Vollständig implementiert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12 Abschnitte gemäß österreichischem Recht: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Geltungsbereich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Vertragsschluss (Angebot/Annahme-Prinzip)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Preise und Zahlung (Nettopreise, Staffelpreise, Zahlungsziel 14 Tage)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Lieferbedingungen (EXW Linz, Incoterms 2020)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Eigentumsvorbehalt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Gewährleistung und Mängelhaftung (12 Monate, 8 Werktage Rüge)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Haftungsbeschränkung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Widerrufsrecht (Ausschluss bei Sonderanfertigung gemäß § 18 FAGG)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Muster-Widerrufsformular (NEU implementiert März 2026)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Datenschutz (Verweis auf Datenschutzerklärung)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Anwendbares Recht (Österreich, Ausschluss UN-Kaufrecht)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Salvatorische Klausel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Zweisprachig verfügbar (Deutsch/Englisch)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Stand: März 2026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Cookie-Banner und Einwilligungsmanagement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3.1 Cookie-Banner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Status: </w:t>
      </w: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Vollständig implementiert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Wird auf jeder Seite der Website angezeigt (eingebunden im Main-Layout)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Erscheint nur, wenn keine vorherige Einwilligung vorliegt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Zwei Cookie-Kategorien: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Notwendig (immer aktiv, nicht deaktivierbar) — Session-Management und Sprachauswahl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Statistik/Analytics (Opt-in) — nur mit ausdrücklicher Zustimmung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Drei Aktionsmöglichkeiten für den Benutzer: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"Alle akzeptieren" — aktiviert alle Kategorien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"Nur notwendige" — lehnt optionale Cookies ab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"Auswahl speichern" — speichert individuelle Auswahl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Einwilligung wird im localStorage gespeichert mit Zeitstempel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Verweis auf Datenschutzerklärung im Banner enthalten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Zweisprachig (Deutsch/Englisch)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3.2 Consent-Checkboxen in Formularen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Kontaktformular: Pflicht-Checkbox mit Link zur Datenschutzerklärung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Shop-Bestellformular: Zwei Pflicht-Checkboxen: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"AGB gelesen und akzeptiert" mit Link zu den AGB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"Datenschutzerklärung gelesen und zugestimmt" mit Link zur Datenschutzerklärung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Technische Datenschutzmaßnahmen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4.1 Keine externen Ressourcen / Drittanbieter-Dienste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Die Website lädt ausnahmslos KEINE externen Ressourcen: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Bereich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Maßnahme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Google Fonts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Schriftarten (Montserrat, Inter) werden lokal gehostet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Google Analytics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Nicht eingesetzt — keine externe Besucheranalyse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Facebook Pixel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Nicht eingesetzt — kein Social-Media-Tracking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CDN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 JavaScript- und CSS-Bibliotheken lokal gehostet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Bilder/Videos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 Medien vom eigenen Server bereitgestellt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reCAPTCHA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Nicht eingesetzt — Honeypot-Spamschutz stattdessen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Instagram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Bilder werden lokal gecacht statt direkt eingebunden</w:t>
            </w:r>
          </w:p>
        </w:tc>
      </w:tr>
    </w:tbl>
    <w:p>
      <w:pPr>
        <w:spacing w:after="8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Dies bedeutet: Bei einem Seitenaufruf wird KEINE Verbindung zu Drittservern hergestellt. Es werden keine IP-Adressen oder andere Nutzerdaten an externe Dienste übertragen.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4.2 Hosting und Serverstandort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Eigenschaft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Hosting-Provider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Hetzner Online GmbH, Gunzenhausen, Deutschland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Serverstandort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Deutschland (EU)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Datenübertragung in Drittländer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Keine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DSGVO-Konformität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Hetzner unterliegt deutschem/europäischem Datenschutzrecht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4.3 SSL/TLS-Verschlüsselung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Gesamte Website über HTTPS erreichbar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SSL-Zertifikat via Let's Encrypt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Alle Datenübertragungen zwischen Browser und Server sind verschlüsselt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4.4 Security Headers (Helmet.js)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HTTP Security Headers über Helmet.js-Middleware implementiert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Schutz vor Cross-Site-Scripting (XSS)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Schutz vor Clickjacking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Schutz vor MIME-Type-Sniffing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4.5 Session-Sicherheit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Maßnahme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httpOnly-Flag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 JavaScript-Zugriff auf Session-Cookies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sameSite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"lax" — Schutz vor CSRF-Angriffen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Session-Timeout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24 Stunden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Reverse-Proxy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Sichere Konfiguration über Reverse-Proxy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4.6 Spam-Schutz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Honeypot-Felder in Kontakt- und Shop-Formularen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Unsichtbare Felder mit aria-hidden und tabindex="-1"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Kein reCAPTCHA notwendig — datenschutzfreundlichere Alternative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KI-Hinweis gemäß EU AI Act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5.1 Umsetzung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Status: </w:t>
      </w: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Vollständig implementiert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(März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Hinweis im Footer jeder Seite: "Teile dieser Website wurden mit Unterstützung von KI-Werkzeugen erstellt."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Ausführlicher Absatz im Impressum mit Klarstellung der inhaltlichen Verantwortung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Zweisprachig (Deutsch/Englisch)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5.2 Empfehlungen für den weiteren KI-Einsatz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Bei Einsatz von KI für E-Mail-Kommunikation: Hinweis in der E-Mail-Signatur empfohlen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Bei KI-generierten Bildern: Kennzeichnung im Bildnachweis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Bei Social-Media-Posts mit KI-Unterstützung: Transparenzhinweis in der Bio oder im Post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Dokumentation interner KI-Nutzung zur Nachvollziehbarkeit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Referenzen und Compliance-Richtlinien von Kunden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6.1 Aktuelle Referenzdarstellung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Die Referenz-Seite zeigt folgende Firmen mit Testimonials und Fotos: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Arthofer Bau GmbH (Johann Arthofer — mit Foto und Zitat)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Grabner Recycling (Andreas Grabner — mit Foto und Zitat)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Mandorfer Bau GmbH (Rudolf Mandorfer — mit Foto und Zitat)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6.2 Empfehlung: Referenz-Freigabe-Prozess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Für alle auf der Website gezeigten Referenzen sollte eine schriftliche Freigabe vorliegen: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Zustimmung zur Namensnennung der Firma auf der Website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Zustimmung zur Verwendung von Fotos/Videos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Zustimmung zur Veröffentlichung von Zitaten/Testimonials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Festlegung, ob ein Firmenlogo verwendet werden darf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6.3 Besondere Compliance-Anforderungen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Bei bestimmten Firmen bestehen verschärfte Compliance-Richtlinien: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026"/>
      </w:tblGrid>
      <w:tr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Firma</w:t>
            </w:r>
          </w:p>
        </w:tc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Einschränkung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Empfohlene Darstellung</w:t>
            </w:r>
          </w:p>
        </w:tc>
      </w:tr>
      <w:tr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Julius Blum GmbH</w:t>
            </w:r>
          </w:p>
        </w:tc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 Bezug oder Verweis auf die Firma in Bildern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"Internationaler Beschlägehersteller"</w:t>
            </w:r>
          </w:p>
        </w:tc>
      </w:tr>
      <w:tr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Hirschmann Automotive</w:t>
            </w:r>
          </w:p>
        </w:tc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 Bezug oder Verweis auf die Firma in Bildern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"Automobilzulieferer"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6.4 Status</w:t>
      </w:r>
    </w:p>
    <w:p>
      <w:pPr>
        <w:shd w:fill="E8F5E9" w:val="clear"/>
        <w:spacing w:after="120"/>
      </w:pPr>
      <w:r>
        <w:rPr>
          <w:rFonts w:ascii="Arial" w:cs="Arial" w:eastAsia="Arial" w:hAnsi="Arial"/>
          <w:b/>
          <w:bCs/>
          <w:color w:val="2E7D32"/>
          <w:sz w:val="20"/>
          <w:szCs w:val="20"/>
        </w:rPr>
        <w:t xml:space="preserve">  Julius Blum GmbH und Hirschmann Automotive werden aktuell NICHT auf der Website gezeigt — kein Verstoß vorhanden.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E-Mail-Konfiguration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7.1 SMTP-Konfiguration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Eigenschaft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Provider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World4You (Österreich)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SMTP-Server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smtp.world4you.com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E-Mail-Adresse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office@lynx-lining.com</w:t>
            </w:r>
          </w:p>
        </w:tc>
      </w:tr>
      <w:tr>
        <w:tc>
          <w:tcPr>
            <w:tcW w:type="dxa" w:w="3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Verschlüsselung</w:t>
            </w:r>
          </w:p>
        </w:tc>
        <w:tc>
          <w:tcPr>
            <w:tcW w:type="dxa" w:w="6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TLS (Port 587)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7.2 E-Mail-Vorlagen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Drei automatisierte E-Mail-Vorlagen sind konfiguriert: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Kontaktformular-Benachrichtigung — empfängt Anfragen über das Kontaktformular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Bestellbenachrichtigung — empfängt Bestellungen aus dem Online-Shop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Preisanfrage-Benachrichtigung — empfängt Preisanfragen für Produkte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Alle E-Mails werden intern an office@lynx-lining.com gesendet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Keine automatischen Antwort-E-Mails an Kunden (datenschutzfreundlich)</w:t>
      </w:r>
    </w:p>
    <w:p>
      <w:pPr>
        <w:spacing w:after="8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8. Internationalisierung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Die gesamte Website ist zweisprachig aufgebaut: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Deutsch (Standard): /de/...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Englisch: /en/...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Alle Rechtsseiten, Cookie-Banner, Formulare und KI-Hinweise sind in beiden Sprachen verfügbar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Sprachumschaltung über die Navigation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9. Offene Punkte / Handlungsempfehlungen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026"/>
        <w:gridCol w:w="1500"/>
        <w:gridCol w:w="2000"/>
      </w:tblGrid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Nr.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Punkt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Priorität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UID-Nummer im Impressum konkret eintragen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HOCH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Offen</w:t>
            </w:r>
          </w:p>
        </w:tc>
      </w:tr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Schriftliche Referenz-Freigaben einholen und archivieren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18"/>
                <w:szCs w:val="18"/>
              </w:rPr>
              <w:t xml:space="preserve">MITTEL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18"/>
                <w:szCs w:val="18"/>
              </w:rPr>
              <w:t xml:space="preserve">Empfohlen</w:t>
            </w:r>
          </w:p>
        </w:tc>
      </w:tr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E-Mail-Passwort in .env-Datei auf dem Server eintragen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HOCH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Offen</w:t>
            </w:r>
          </w:p>
        </w:tc>
      </w:tr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Seed-Script ausführen (aktualisierte Rechtsseiten)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HOCH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Offen</w:t>
            </w:r>
          </w:p>
        </w:tc>
      </w:tr>
      <w:tr>
        <w:tc>
          <w:tcPr>
            <w:tcW w:type="dxa" w:w="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5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KI-Hinweis in E-Mail-Signatur (falls KI für E-Mails)</w:t>
            </w:r>
          </w:p>
        </w:tc>
        <w:tc>
          <w:tcPr>
            <w:tcW w:type="dxa" w:w="1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NIEDRIG</w:t>
            </w:r>
          </w:p>
        </w:tc>
        <w:tc>
          <w:tcPr>
            <w:tcW w:type="dxa" w:w="20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Optional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10. Compliance-Übersicht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Abschließende Übersicht aller implementierten Maßnahmen: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26"/>
        <w:gridCol w:w="2500"/>
      </w:tblGrid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Anforderung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Rechtsgrundlage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Impressum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§ 5 ECG, § 25 MedienG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Datenschutzerklärung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13, 14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AGB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UGB, FAGG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Cookie-Banner mit Opt-in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DSGVO, ePrivacy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Einwilligungen in Formularen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6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Keine externen Dienste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44-49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Lokale Schriftarten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(kein Daten-Transfer)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SSL-Verschlüsselung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32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Hosting in EU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44-49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Security Headers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Art. 32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Spam-Schutz ohne reCAPTCHA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DSGVO (datenschutzfreundlich)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KI-Hinweis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EU AI Act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Muster-Widerrufsformular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FAGG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Zweisprachigkeit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Internationale Compliance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ERFÜLLT</w:t>
            </w:r>
          </w:p>
        </w:tc>
      </w:tr>
      <w:tr>
        <w:tc>
          <w:tcPr>
            <w:tcW w:type="dxa" w:w="3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UID-Nummer</w:t>
            </w:r>
          </w:p>
        </w:tc>
        <w:tc>
          <w:tcPr>
            <w:tcW w:type="dxa" w:w="3026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ECG/UGB</w:t>
            </w:r>
          </w:p>
        </w:tc>
        <w:tc>
          <w:tcPr>
            <w:tcW w:type="dxa" w:w="2500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OFFEN</w:t>
            </w:r>
          </w:p>
        </w:tc>
      </w:tr>
    </w:tbl>
    <w:p>
      <w:pPr>
        <w:spacing w:after="80"/>
      </w:pPr>
    </w:p>
    <w:p>
      <w:pPr>
        <w:spacing w:after="80"/>
      </w:pPr>
    </w:p>
    <w:p>
      <w:pPr>
        <w:pBdr>
          <w:top w:val="single" w:color="1F4E79" w:sz="2" w:space="8"/>
        </w:pBdr>
        <w:spacing w:before="400"/>
      </w:pPr>
    </w:p>
    <w:p>
      <w:pPr>
        <w:spacing w:after="8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Erstellt: März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LYNX Lining — Ing. Martin Heidecker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| LYNX Lining — Vertraulich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79" w:sz="2" w:space="4"/>
      </w:pBdr>
    </w:pPr>
    <w:r>
      <w:rPr>
        <w:rFonts w:ascii="Arial" w:cs="Arial" w:eastAsia="Arial" w:hAnsi="Arial"/>
        <w:b/>
        <w:bCs/>
        <w:color w:val="C0392B"/>
        <w:sz w:val="16"/>
        <w:szCs w:val="16"/>
      </w:rPr>
      <w:t xml:space="preserve">LYNX Lining </w:t>
    </w:r>
    <w:r>
      <w:rPr>
        <w:rFonts w:ascii="Arial" w:cs="Arial" w:eastAsia="Arial" w:hAnsi="Arial"/>
        <w:color w:val="999999"/>
        <w:sz w:val="16"/>
        <w:szCs w:val="16"/>
      </w:rPr>
      <w:t xml:space="preserve">| Compliance &amp; Datenschutz-Dokumentation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2026-03-13T11:37:58.600Z</dcterms:created>
  <dcterms:modified xsi:type="dcterms:W3CDTF">2026-03-13T11:37:58.606Z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